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3"/>
        <w:spacing w:after="300" w:before="0" w:lineRule="auto"/>
        <w:jc w:val="right"/>
        <w:rPr/>
      </w:pPr>
      <w:bookmarkStart w:colFirst="0" w:colLast="0" w:name="_8jfpw531l9sn" w:id="0"/>
      <w:bookmarkEnd w:id="0"/>
      <w:r w:rsidDel="00000000" w:rsidR="00000000" w:rsidRPr="00000000">
        <w:rPr>
          <w:color w:val="bb181d"/>
          <w:rtl w:val="0"/>
        </w:rPr>
        <w:t xml:space="preserve">￭ Module:</w:t>
      </w:r>
      <w:r w:rsidDel="00000000" w:rsidR="00000000" w:rsidRPr="00000000">
        <w:rPr>
          <w:rtl w:val="0"/>
        </w:rPr>
        <w:t xml:space="preserve"> Civil Rights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6858000" cy="1257300"/>
            <wp:effectExtent b="0" l="0" r="0" t="0"/>
            <wp:wrapTopAndBottom distB="0" distT="0"/>
            <wp:docPr descr="Logo for Civil Discourse: An American Legacy Toolkit, produced by the Center for Civic Education." id="1" name="image3.png"/>
            <a:graphic>
              <a:graphicData uri="http://schemas.openxmlformats.org/drawingml/2006/picture">
                <pic:pic>
                  <pic:nvPicPr>
                    <pic:cNvPr descr="Logo for Civil Discourse: An American Legacy Toolkit, produced by the Center for Civic Education." id="0" name="image3.png"/>
                    <pic:cNvPicPr preferRelativeResize="0"/>
                  </pic:nvPicPr>
                  <pic:blipFill>
                    <a:blip r:embed="rId6"/>
                    <a:srcRect b="0" l="0" r="0" t="0"/>
                    <a:stretch>
                      <a:fillRect/>
                    </a:stretch>
                  </pic:blipFill>
                  <pic:spPr>
                    <a:xfrm>
                      <a:off x="0" y="0"/>
                      <a:ext cx="6858000" cy="1257300"/>
                    </a:xfrm>
                    <a:prstGeom prst="rect"/>
                    <a:ln/>
                  </pic:spPr>
                </pic:pic>
              </a:graphicData>
            </a:graphic>
          </wp:anchor>
        </w:drawing>
      </w:r>
    </w:p>
    <w:p w:rsidR="00000000" w:rsidDel="00000000" w:rsidP="00000000" w:rsidRDefault="00000000" w:rsidRPr="00000000" w14:paraId="00000002">
      <w:pPr>
        <w:pStyle w:val="Heading2"/>
        <w:spacing w:before="0" w:lineRule="auto"/>
        <w:rPr/>
      </w:pPr>
      <w:bookmarkStart w:colFirst="0" w:colLast="0" w:name="_2p14qghiwie4" w:id="1"/>
      <w:bookmarkEnd w:id="1"/>
      <w:r w:rsidDel="00000000" w:rsidR="00000000" w:rsidRPr="00000000">
        <w:rPr>
          <w:rtl w:val="0"/>
        </w:rPr>
        <w:t xml:space="preserve">Overview</w:t>
      </w:r>
    </w:p>
    <w:p w:rsidR="00000000" w:rsidDel="00000000" w:rsidP="00000000" w:rsidRDefault="00000000" w:rsidRPr="00000000" w14:paraId="00000003">
      <w:pPr>
        <w:pStyle w:val="Heading3"/>
        <w:spacing w:before="0" w:lineRule="auto"/>
        <w:rPr/>
      </w:pPr>
      <w:bookmarkStart w:colFirst="0" w:colLast="0" w:name="_8yt61v1z9uqq" w:id="2"/>
      <w:bookmarkEnd w:id="2"/>
      <w:r w:rsidDel="00000000" w:rsidR="00000000" w:rsidRPr="00000000">
        <w:rPr>
          <w:rtl w:val="0"/>
        </w:rPr>
        <w:t xml:space="preserve">Timeframe: 3-4 days / 50-minute sessions</w:t>
      </w:r>
    </w:p>
    <w:p w:rsidR="00000000" w:rsidDel="00000000" w:rsidP="00000000" w:rsidRDefault="00000000" w:rsidRPr="00000000" w14:paraId="00000004">
      <w:pPr>
        <w:spacing w:after="0" w:lineRule="auto"/>
        <w:rPr>
          <w:color w:val="231f20"/>
        </w:rPr>
      </w:pPr>
      <w:r w:rsidDel="00000000" w:rsidR="00000000" w:rsidRPr="00000000">
        <w:rPr>
          <w:rtl w:val="0"/>
        </w:rPr>
      </w:r>
    </w:p>
    <w:tbl>
      <w:tblPr>
        <w:tblStyle w:val="Table1"/>
        <w:tblW w:w="10800.0" w:type="dxa"/>
        <w:jc w:val="left"/>
        <w:tblLayout w:type="fixed"/>
        <w:tblLook w:val="0600"/>
      </w:tblPr>
      <w:tblGrid>
        <w:gridCol w:w="5400"/>
        <w:gridCol w:w="5400"/>
        <w:tblGridChange w:id="0">
          <w:tblGrid>
            <w:gridCol w:w="5400"/>
            <w:gridCol w:w="540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05">
            <w:pPr>
              <w:pStyle w:val="Heading4"/>
              <w:widowControl w:val="0"/>
              <w:spacing w:after="0" w:before="0" w:line="240" w:lineRule="auto"/>
              <w:rPr/>
            </w:pPr>
            <w:bookmarkStart w:colFirst="0" w:colLast="0" w:name="_hzdgfmfg91im" w:id="3"/>
            <w:bookmarkEnd w:id="3"/>
            <w:r w:rsidDel="00000000" w:rsidR="00000000" w:rsidRPr="00000000">
              <w:rPr>
                <w:rtl w:val="0"/>
              </w:rPr>
              <w:t xml:space="preserve">Podcast and Video Alignment</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06">
            <w:pPr>
              <w:pStyle w:val="Heading4"/>
              <w:widowControl w:val="0"/>
              <w:spacing w:after="0" w:before="0" w:line="240" w:lineRule="auto"/>
              <w:rPr/>
            </w:pPr>
            <w:bookmarkStart w:colFirst="0" w:colLast="0" w:name="_49hf5239pzky" w:id="4"/>
            <w:bookmarkEnd w:id="4"/>
            <w:r w:rsidDel="00000000" w:rsidR="00000000" w:rsidRPr="00000000">
              <w:rPr>
                <w:i w:val="1"/>
                <w:rtl w:val="0"/>
              </w:rPr>
              <w:t xml:space="preserve">American Legacy</w:t>
            </w:r>
            <w:r w:rsidDel="00000000" w:rsidR="00000000" w:rsidRPr="00000000">
              <w:rPr>
                <w:rtl w:val="0"/>
              </w:rPr>
              <w:t xml:space="preserve"> Text &amp; Additional Texts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b w:val="1"/>
                <w:color w:val="231f20"/>
              </w:rPr>
            </w:pPr>
            <w:r w:rsidDel="00000000" w:rsidR="00000000" w:rsidRPr="00000000">
              <w:rPr>
                <w:b w:val="1"/>
                <w:color w:val="231f20"/>
                <w:rtl w:val="0"/>
              </w:rPr>
              <w:t xml:space="preserve">60-Second Civics Podcast:</w:t>
            </w:r>
          </w:p>
          <w:p w:rsidR="00000000" w:rsidDel="00000000" w:rsidP="00000000" w:rsidRDefault="00000000" w:rsidRPr="00000000" w14:paraId="0000000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7">
              <w:r w:rsidDel="00000000" w:rsidR="00000000" w:rsidRPr="00000000">
                <w:rPr>
                  <w:color w:val="004fa3"/>
                  <w:rtl w:val="0"/>
                </w:rPr>
                <w:t xml:space="preserve">Civil Rights at the Founding</w:t>
              </w:r>
            </w:hyperlink>
            <w:r w:rsidDel="00000000" w:rsidR="00000000" w:rsidRPr="00000000">
              <w:rPr>
                <w:rtl w:val="0"/>
              </w:rPr>
            </w:r>
          </w:p>
          <w:p w:rsidR="00000000" w:rsidDel="00000000" w:rsidP="00000000" w:rsidRDefault="00000000" w:rsidRPr="00000000" w14:paraId="0000000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8">
              <w:r w:rsidDel="00000000" w:rsidR="00000000" w:rsidRPr="00000000">
                <w:rPr>
                  <w:color w:val="004fa3"/>
                  <w:rtl w:val="0"/>
                </w:rPr>
                <w:t xml:space="preserve">Frederick Douglass’ Speech</w:t>
              </w:r>
            </w:hyperlink>
            <w:r w:rsidDel="00000000" w:rsidR="00000000" w:rsidRPr="00000000">
              <w:rPr>
                <w:rtl w:val="0"/>
              </w:rPr>
            </w:r>
          </w:p>
          <w:p w:rsidR="00000000" w:rsidDel="00000000" w:rsidP="00000000" w:rsidRDefault="00000000" w:rsidRPr="00000000" w14:paraId="0000000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9">
              <w:r w:rsidDel="00000000" w:rsidR="00000000" w:rsidRPr="00000000">
                <w:rPr>
                  <w:color w:val="004fa3"/>
                  <w:rtl w:val="0"/>
                </w:rPr>
                <w:t xml:space="preserve">Reconstruction Amendments</w:t>
              </w:r>
            </w:hyperlink>
            <w:r w:rsidDel="00000000" w:rsidR="00000000" w:rsidRPr="00000000">
              <w:rPr>
                <w:rtl w:val="0"/>
              </w:rPr>
            </w:r>
          </w:p>
          <w:p w:rsidR="00000000" w:rsidDel="00000000" w:rsidP="00000000" w:rsidRDefault="00000000" w:rsidRPr="00000000" w14:paraId="0000000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0">
              <w:r w:rsidDel="00000000" w:rsidR="00000000" w:rsidRPr="00000000">
                <w:rPr>
                  <w:color w:val="004fa3"/>
                  <w:rtl w:val="0"/>
                </w:rPr>
                <w:t xml:space="preserve">Brown v. Board of Education</w:t>
              </w:r>
            </w:hyperlink>
            <w:r w:rsidDel="00000000" w:rsidR="00000000" w:rsidRPr="00000000">
              <w:rPr>
                <w:rtl w:val="0"/>
              </w:rPr>
            </w:r>
          </w:p>
          <w:p w:rsidR="00000000" w:rsidDel="00000000" w:rsidP="00000000" w:rsidRDefault="00000000" w:rsidRPr="00000000" w14:paraId="0000000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1">
              <w:r w:rsidDel="00000000" w:rsidR="00000000" w:rsidRPr="00000000">
                <w:rPr>
                  <w:color w:val="004fa3"/>
                  <w:rtl w:val="0"/>
                </w:rPr>
                <w:t xml:space="preserve">Civil Rights Challenges Today</w:t>
              </w:r>
            </w:hyperlink>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b w:val="1"/>
                <w:color w:val="231f20"/>
              </w:rPr>
            </w:pPr>
            <w:r w:rsidDel="00000000" w:rsidR="00000000" w:rsidRPr="00000000">
              <w:rPr>
                <w:b w:val="1"/>
                <w:color w:val="231f20"/>
                <w:rtl w:val="0"/>
              </w:rPr>
              <w:t xml:space="preserve">Beyond the Legacy Video:</w:t>
            </w:r>
          </w:p>
          <w:p w:rsidR="00000000" w:rsidDel="00000000" w:rsidP="00000000" w:rsidRDefault="00000000" w:rsidRPr="00000000" w14:paraId="0000000F">
            <w:pPr>
              <w:widowControl w:val="0"/>
              <w:numPr>
                <w:ilvl w:val="0"/>
                <w:numId w:val="2"/>
              </w:numPr>
              <w:ind w:left="720" w:hanging="360"/>
            </w:pPr>
            <w:hyperlink r:id="rId12">
              <w:r w:rsidDel="00000000" w:rsidR="00000000" w:rsidRPr="00000000">
                <w:rPr>
                  <w:color w:val="004fa3"/>
                  <w:rtl w:val="0"/>
                </w:rPr>
                <w:t xml:space="preserve">Civil Rights in America</w:t>
              </w:r>
            </w:hyperlink>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b w:val="1"/>
                <w:color w:val="231f20"/>
              </w:rPr>
            </w:pPr>
            <w:r w:rsidDel="00000000" w:rsidR="00000000" w:rsidRPr="00000000">
              <w:rPr>
                <w:b w:val="1"/>
                <w:color w:val="231f20"/>
                <w:rtl w:val="0"/>
              </w:rPr>
              <w:t xml:space="preserve">Scholar:</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rtl w:val="0"/>
              </w:rPr>
              <w:t xml:space="preserve">Dr. Lester Brooks</w:t>
              <w:br w:type="textWrapping"/>
              <w:t xml:space="preserve">American History Professor Emeritus</w:t>
              <w:br w:type="textWrapping"/>
              <w:t xml:space="preserve">Anne Arundel Community College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b w:val="1"/>
                <w:color w:val="231f20"/>
              </w:rPr>
            </w:pPr>
            <w:r w:rsidDel="00000000" w:rsidR="00000000" w:rsidRPr="00000000">
              <w:rPr>
                <w:b w:val="1"/>
                <w:color w:val="231f20"/>
                <w:rtl w:val="0"/>
              </w:rPr>
              <w:t xml:space="preserve">Primary Sources:</w:t>
            </w:r>
          </w:p>
          <w:p w:rsidR="00000000" w:rsidDel="00000000" w:rsidP="00000000" w:rsidRDefault="00000000" w:rsidRPr="00000000" w14:paraId="00000014">
            <w:pPr>
              <w:widowControl w:val="0"/>
              <w:numPr>
                <w:ilvl w:val="0"/>
                <w:numId w:val="4"/>
              </w:numPr>
              <w:ind w:left="720" w:hanging="360"/>
            </w:pPr>
            <w:hyperlink r:id="rId13">
              <w:r w:rsidDel="00000000" w:rsidR="00000000" w:rsidRPr="00000000">
                <w:rPr>
                  <w:i w:val="1"/>
                  <w:color w:val="004fa3"/>
                  <w:rtl w:val="0"/>
                </w:rPr>
                <w:t xml:space="preserve">Brown v. Board of Education</w:t>
                <w:br w:type="textWrapping"/>
                <w:t xml:space="preserve">of Topeka Kansas</w:t>
              </w:r>
            </w:hyperlink>
            <w:hyperlink r:id="rId14">
              <w:r w:rsidDel="00000000" w:rsidR="00000000" w:rsidRPr="00000000">
                <w:rPr>
                  <w:color w:val="004fa3"/>
                  <w:rtl w:val="0"/>
                </w:rPr>
                <w:t xml:space="preserve"> (1954)</w:t>
              </w:r>
            </w:hyperlink>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b w:val="1"/>
                <w:color w:val="231f20"/>
                <w:rtl w:val="0"/>
              </w:rPr>
              <w:t xml:space="preserve">Instructional Materials:</w:t>
            </w:r>
            <w:r w:rsidDel="00000000" w:rsidR="00000000" w:rsidRPr="00000000">
              <w:rPr>
                <w:rtl w:val="0"/>
              </w:rPr>
            </w:r>
          </w:p>
          <w:p w:rsidR="00000000" w:rsidDel="00000000" w:rsidP="00000000" w:rsidRDefault="00000000" w:rsidRPr="00000000" w14:paraId="00000017">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5">
              <w:r w:rsidDel="00000000" w:rsidR="00000000" w:rsidRPr="00000000">
                <w:rPr>
                  <w:color w:val="004fa3"/>
                  <w:rtl w:val="0"/>
                </w:rPr>
                <w:t xml:space="preserve">Beyond the Legacy</w:t>
                <w:br w:type="textWrapping"/>
                <w:t xml:space="preserve">Video Guide: Civil Rights</w:t>
              </w:r>
            </w:hyperlink>
            <w:r w:rsidDel="00000000" w:rsidR="00000000" w:rsidRPr="00000000">
              <w:rPr>
                <w:rtl w:val="0"/>
              </w:rPr>
            </w:r>
          </w:p>
          <w:p w:rsidR="00000000" w:rsidDel="00000000" w:rsidP="00000000" w:rsidRDefault="00000000" w:rsidRPr="00000000" w14:paraId="00000018">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6">
              <w:r w:rsidDel="00000000" w:rsidR="00000000" w:rsidRPr="00000000">
                <w:rPr>
                  <w:color w:val="004fa3"/>
                  <w:rtl w:val="0"/>
                </w:rPr>
                <w:t xml:space="preserve">Paideia Seminar Plan –</w:t>
                <w:br w:type="textWrapping"/>
                <w:t xml:space="preserve">Brown v. Board of Education</w:t>
              </w:r>
            </w:hyperlink>
            <w:r w:rsidDel="00000000" w:rsidR="00000000" w:rsidRPr="00000000">
              <w:rPr>
                <w:rtl w:val="0"/>
              </w:rPr>
            </w:r>
          </w:p>
          <w:p w:rsidR="00000000" w:rsidDel="00000000" w:rsidP="00000000" w:rsidRDefault="00000000" w:rsidRPr="00000000" w14:paraId="00000019">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7">
              <w:r w:rsidDel="00000000" w:rsidR="00000000" w:rsidRPr="00000000">
                <w:rPr>
                  <w:color w:val="004fa3"/>
                  <w:rtl w:val="0"/>
                </w:rPr>
                <w:t xml:space="preserve">Structured Academic</w:t>
                <w:br w:type="textWrapping"/>
                <w:t xml:space="preserve">Controversy Plan – Civil Rights</w:t>
              </w:r>
            </w:hyperlink>
            <w:r w:rsidDel="00000000" w:rsidR="00000000" w:rsidRPr="00000000">
              <w:rPr>
                <w:rtl w:val="0"/>
              </w:rPr>
            </w:r>
          </w:p>
          <w:p w:rsidR="00000000" w:rsidDel="00000000" w:rsidP="00000000" w:rsidRDefault="00000000" w:rsidRPr="00000000" w14:paraId="0000001A">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8">
              <w:r w:rsidDel="00000000" w:rsidR="00000000" w:rsidRPr="00000000">
                <w:rPr>
                  <w:color w:val="004fa3"/>
                  <w:rtl w:val="0"/>
                </w:rPr>
                <w:t xml:space="preserve">SAC Note-Taking Graphic Organizer</w:t>
              </w:r>
            </w:hyperlink>
            <w:r w:rsidDel="00000000" w:rsidR="00000000" w:rsidRPr="00000000">
              <w:rPr>
                <w:rtl w:val="0"/>
              </w:rPr>
            </w:r>
          </w:p>
        </w:tc>
      </w:tr>
    </w:tbl>
    <w:p w:rsidR="00000000" w:rsidDel="00000000" w:rsidP="00000000" w:rsidRDefault="00000000" w:rsidRPr="00000000" w14:paraId="0000001B">
      <w:pPr>
        <w:spacing w:after="0" w:lineRule="auto"/>
        <w:rPr>
          <w:color w:val="231f20"/>
        </w:rPr>
      </w:pPr>
      <w:r w:rsidDel="00000000" w:rsidR="00000000" w:rsidRPr="00000000">
        <w:rPr>
          <w:rtl w:val="0"/>
        </w:rPr>
      </w:r>
    </w:p>
    <w:tbl>
      <w:tblPr>
        <w:tblStyle w:val="Table2"/>
        <w:tblW w:w="10800.0" w:type="dxa"/>
        <w:jc w:val="left"/>
        <w:tblLayout w:type="fixed"/>
        <w:tblLook w:val="0600"/>
      </w:tblPr>
      <w:tblGrid>
        <w:gridCol w:w="2880"/>
        <w:gridCol w:w="360"/>
        <w:gridCol w:w="7560"/>
        <w:tblGridChange w:id="0">
          <w:tblGrid>
            <w:gridCol w:w="2880"/>
            <w:gridCol w:w="360"/>
            <w:gridCol w:w="756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1C">
            <w:pPr>
              <w:pStyle w:val="Heading4"/>
              <w:widowControl w:val="0"/>
              <w:spacing w:before="0" w:line="240" w:lineRule="auto"/>
              <w:rPr/>
            </w:pPr>
            <w:bookmarkStart w:colFirst="0" w:colLast="0" w:name="_anyvo2f8rhh6" w:id="5"/>
            <w:bookmarkEnd w:id="5"/>
            <w:r w:rsidDel="00000000" w:rsidR="00000000" w:rsidRPr="00000000">
              <w:rPr>
                <w:rtl w:val="0"/>
              </w:rPr>
              <w:t xml:space="preserve">Inquiry Question</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1D">
            <w:pPr>
              <w:pStyle w:val="Heading4"/>
              <w:widowControl w:val="0"/>
              <w:spacing w:before="0" w:line="240" w:lineRule="auto"/>
              <w:rPr/>
            </w:pPr>
            <w:bookmarkStart w:colFirst="0" w:colLast="0" w:name="_anyvo2f8rhh6" w:id="5"/>
            <w:bookmarkEnd w:id="5"/>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1E">
            <w:pPr>
              <w:pStyle w:val="Heading4"/>
              <w:widowControl w:val="0"/>
              <w:spacing w:before="0" w:line="240" w:lineRule="auto"/>
              <w:rPr/>
            </w:pPr>
            <w:bookmarkStart w:colFirst="0" w:colLast="0" w:name="_ghlephs2aa2c" w:id="6"/>
            <w:bookmarkEnd w:id="6"/>
            <w:r w:rsidDel="00000000" w:rsidR="00000000" w:rsidRPr="00000000">
              <w:rPr>
                <w:rtl w:val="0"/>
              </w:rPr>
              <w:t xml:space="preserve">Objective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300" w:lineRule="auto"/>
              <w:rPr>
                <w:color w:val="231f20"/>
              </w:rPr>
            </w:pPr>
            <w:r w:rsidDel="00000000" w:rsidR="00000000" w:rsidRPr="00000000">
              <w:rPr>
                <w:rtl w:val="0"/>
              </w:rPr>
              <w:t xml:space="preserve">Was </w:t>
            </w:r>
            <w:hyperlink r:id="rId19">
              <w:r w:rsidDel="00000000" w:rsidR="00000000" w:rsidRPr="00000000">
                <w:rPr>
                  <w:i w:val="1"/>
                  <w:color w:val="004fa3"/>
                  <w:rtl w:val="0"/>
                </w:rPr>
                <w:t xml:space="preserve">Brown v. Board of Education</w:t>
              </w:r>
            </w:hyperlink>
            <w:r w:rsidDel="00000000" w:rsidR="00000000" w:rsidRPr="00000000">
              <w:rPr>
                <w:rtl w:val="0"/>
              </w:rPr>
              <w:t xml:space="preserve"> successful?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30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rPr/>
            </w:pPr>
            <w:r w:rsidDel="00000000" w:rsidR="00000000" w:rsidRPr="00000000">
              <w:rPr>
                <w:rtl w:val="0"/>
              </w:rPr>
              <w:t xml:space="preserve">Participants will learn about the constitutional underpinnings of civil rights and how they relate to racial segregation today to engage in a civil discourse model to expand their perspectives on the issue.</w:t>
            </w:r>
          </w:p>
        </w:tc>
      </w:tr>
    </w:tbl>
    <w:p w:rsidR="00000000" w:rsidDel="00000000" w:rsidP="00000000" w:rsidRDefault="00000000" w:rsidRPr="00000000" w14:paraId="00000022">
      <w:pPr>
        <w:rPr/>
      </w:pPr>
      <w:r w:rsidDel="00000000" w:rsidR="00000000" w:rsidRPr="00000000">
        <w:br w:type="page"/>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tbl>
      <w:tblPr>
        <w:tblStyle w:val="Table3"/>
        <w:tblW w:w="10800.0" w:type="dxa"/>
        <w:jc w:val="left"/>
        <w:tblLayout w:type="fixed"/>
        <w:tblLook w:val="0600"/>
      </w:tblPr>
      <w:tblGrid>
        <w:gridCol w:w="2700"/>
        <w:gridCol w:w="2700"/>
        <w:gridCol w:w="2700"/>
        <w:gridCol w:w="2700"/>
        <w:tblGridChange w:id="0">
          <w:tblGrid>
            <w:gridCol w:w="2700"/>
            <w:gridCol w:w="2700"/>
            <w:gridCol w:w="2700"/>
            <w:gridCol w:w="27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24">
            <w:pPr>
              <w:pStyle w:val="Heading4"/>
              <w:widowControl w:val="0"/>
              <w:spacing w:before="0" w:line="240" w:lineRule="auto"/>
              <w:rPr/>
            </w:pPr>
            <w:bookmarkStart w:colFirst="0" w:colLast="0" w:name="_lm3uges1rw15" w:id="7"/>
            <w:bookmarkEnd w:id="7"/>
            <w:r w:rsidDel="00000000" w:rsidR="00000000" w:rsidRPr="00000000">
              <w:rPr>
                <w:rtl w:val="0"/>
              </w:rPr>
              <w:t xml:space="preserve">Vocabulary</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25">
            <w:pPr>
              <w:pStyle w:val="Heading4"/>
              <w:widowControl w:val="0"/>
              <w:spacing w:before="0" w:line="240" w:lineRule="auto"/>
              <w:rPr/>
            </w:pPr>
            <w:bookmarkStart w:colFirst="0" w:colLast="0" w:name="_lm3uges1rw15" w:id="7"/>
            <w:bookmarkEnd w:id="7"/>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26">
            <w:pPr>
              <w:pStyle w:val="Heading4"/>
              <w:widowControl w:val="0"/>
              <w:spacing w:before="0" w:line="240" w:lineRule="auto"/>
              <w:rPr/>
            </w:pPr>
            <w:bookmarkStart w:colFirst="0" w:colLast="0" w:name="_lm3uges1rw15" w:id="7"/>
            <w:bookmarkEnd w:id="7"/>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27">
            <w:pPr>
              <w:pStyle w:val="Heading4"/>
              <w:widowControl w:val="0"/>
              <w:spacing w:before="0" w:line="240" w:lineRule="auto"/>
              <w:rPr/>
            </w:pPr>
            <w:bookmarkStart w:colFirst="0" w:colLast="0" w:name="_lm3uges1rw15" w:id="7"/>
            <w:bookmarkEnd w:id="7"/>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numPr>
                <w:ilvl w:val="0"/>
                <w:numId w:val="1"/>
              </w:numPr>
              <w:ind w:left="360" w:hanging="360"/>
            </w:pPr>
            <w:hyperlink r:id="rId20">
              <w:r w:rsidDel="00000000" w:rsidR="00000000" w:rsidRPr="00000000">
                <w:rPr>
                  <w:color w:val="004fa3"/>
                  <w:rtl w:val="0"/>
                </w:rPr>
                <w:t xml:space="preserve">14th Amendment</w:t>
              </w:r>
            </w:hyperlink>
            <w:r w:rsidDel="00000000" w:rsidR="00000000" w:rsidRPr="00000000">
              <w:rPr>
                <w:rtl w:val="0"/>
              </w:rPr>
            </w:r>
          </w:p>
          <w:p w:rsidR="00000000" w:rsidDel="00000000" w:rsidP="00000000" w:rsidRDefault="00000000" w:rsidRPr="00000000" w14:paraId="00000029">
            <w:pPr>
              <w:widowControl w:val="0"/>
              <w:numPr>
                <w:ilvl w:val="0"/>
                <w:numId w:val="1"/>
              </w:numPr>
              <w:ind w:left="360" w:hanging="360"/>
            </w:pPr>
            <w:r w:rsidDel="00000000" w:rsidR="00000000" w:rsidRPr="00000000">
              <w:rPr>
                <w:rtl w:val="0"/>
              </w:rPr>
              <w:t xml:space="preserve">“compulsory school attendance”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numPr>
                <w:ilvl w:val="0"/>
                <w:numId w:val="1"/>
              </w:numPr>
              <w:ind w:left="360" w:hanging="360"/>
            </w:pPr>
            <w:hyperlink r:id="rId21">
              <w:r w:rsidDel="00000000" w:rsidR="00000000" w:rsidRPr="00000000">
                <w:rPr>
                  <w:color w:val="004fa3"/>
                  <w:rtl w:val="0"/>
                </w:rPr>
                <w:t xml:space="preserve">equal protection</w:t>
              </w:r>
            </w:hyperlink>
            <w:r w:rsidDel="00000000" w:rsidR="00000000" w:rsidRPr="00000000">
              <w:rPr>
                <w:rtl w:val="0"/>
              </w:rPr>
            </w:r>
          </w:p>
          <w:p w:rsidR="00000000" w:rsidDel="00000000" w:rsidP="00000000" w:rsidRDefault="00000000" w:rsidRPr="00000000" w14:paraId="0000002B">
            <w:pPr>
              <w:widowControl w:val="0"/>
              <w:numPr>
                <w:ilvl w:val="0"/>
                <w:numId w:val="1"/>
              </w:numPr>
              <w:ind w:left="360" w:hanging="360"/>
            </w:pPr>
            <w:hyperlink r:id="rId22">
              <w:r w:rsidDel="00000000" w:rsidR="00000000" w:rsidRPr="00000000">
                <w:rPr>
                  <w:color w:val="004fa3"/>
                  <w:rtl w:val="0"/>
                </w:rPr>
                <w:t xml:space="preserve">jurisdiction</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numPr>
                <w:ilvl w:val="0"/>
                <w:numId w:val="1"/>
              </w:numPr>
              <w:ind w:left="360" w:hanging="360"/>
            </w:pPr>
            <w:hyperlink r:id="rId23">
              <w:r w:rsidDel="00000000" w:rsidR="00000000" w:rsidRPr="00000000">
                <w:rPr>
                  <w:color w:val="004fa3"/>
                  <w:rtl w:val="0"/>
                </w:rPr>
                <w:t xml:space="preserve">ratification</w:t>
              </w:r>
            </w:hyperlink>
            <w:r w:rsidDel="00000000" w:rsidR="00000000" w:rsidRPr="00000000">
              <w:rPr>
                <w:rtl w:val="0"/>
              </w:rPr>
            </w:r>
          </w:p>
          <w:p w:rsidR="00000000" w:rsidDel="00000000" w:rsidP="00000000" w:rsidRDefault="00000000" w:rsidRPr="00000000" w14:paraId="0000002D">
            <w:pPr>
              <w:widowControl w:val="0"/>
              <w:numPr>
                <w:ilvl w:val="0"/>
                <w:numId w:val="1"/>
              </w:numPr>
              <w:ind w:left="360" w:hanging="360"/>
            </w:pPr>
            <w:hyperlink r:id="rId24">
              <w:r w:rsidDel="00000000" w:rsidR="00000000" w:rsidRPr="00000000">
                <w:rPr>
                  <w:color w:val="004fa3"/>
                  <w:rtl w:val="0"/>
                </w:rPr>
                <w:t xml:space="preserve">rudimentary</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numPr>
                <w:ilvl w:val="0"/>
                <w:numId w:val="1"/>
              </w:numPr>
              <w:ind w:left="360" w:hanging="360"/>
            </w:pPr>
            <w:hyperlink r:id="rId25">
              <w:r w:rsidDel="00000000" w:rsidR="00000000" w:rsidRPr="00000000">
                <w:rPr>
                  <w:color w:val="004fa3"/>
                  <w:rtl w:val="0"/>
                </w:rPr>
                <w:t xml:space="preserve">“separate but equal”</w:t>
              </w:r>
            </w:hyperlink>
            <w:r w:rsidDel="00000000" w:rsidR="00000000" w:rsidRPr="00000000">
              <w:rPr>
                <w:rtl w:val="0"/>
              </w:rPr>
            </w:r>
          </w:p>
          <w:p w:rsidR="00000000" w:rsidDel="00000000" w:rsidP="00000000" w:rsidRDefault="00000000" w:rsidRPr="00000000" w14:paraId="0000002F">
            <w:pPr>
              <w:widowControl w:val="0"/>
              <w:numPr>
                <w:ilvl w:val="0"/>
                <w:numId w:val="1"/>
              </w:numPr>
              <w:ind w:left="360" w:hanging="360"/>
            </w:pPr>
            <w:r w:rsidDel="00000000" w:rsidR="00000000" w:rsidRPr="00000000">
              <w:rPr>
                <w:rtl w:val="0"/>
              </w:rPr>
              <w:t xml:space="preserve">state-imposed discrimination</w:t>
            </w:r>
          </w:p>
        </w:tc>
      </w:tr>
    </w:tbl>
    <w:p w:rsidR="00000000" w:rsidDel="00000000" w:rsidP="00000000" w:rsidRDefault="00000000" w:rsidRPr="00000000" w14:paraId="00000030">
      <w:pPr>
        <w:spacing w:after="0" w:lineRule="auto"/>
        <w:rPr>
          <w:color w:val="231f20"/>
        </w:rPr>
      </w:pPr>
      <w:r w:rsidDel="00000000" w:rsidR="00000000" w:rsidRPr="00000000">
        <w:rPr>
          <w:rtl w:val="0"/>
        </w:rPr>
      </w:r>
    </w:p>
    <w:tbl>
      <w:tblPr>
        <w:tblStyle w:val="Table4"/>
        <w:tblW w:w="10800.0" w:type="dxa"/>
        <w:jc w:val="left"/>
        <w:tblLayout w:type="fixed"/>
        <w:tblLook w:val="0600"/>
      </w:tblPr>
      <w:tblGrid>
        <w:gridCol w:w="10800"/>
        <w:tblGridChange w:id="0">
          <w:tblGrid>
            <w:gridCol w:w="108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31">
            <w:pPr>
              <w:pStyle w:val="Heading4"/>
              <w:widowControl w:val="0"/>
              <w:spacing w:before="0" w:line="240" w:lineRule="auto"/>
              <w:rPr/>
            </w:pPr>
            <w:bookmarkStart w:colFirst="0" w:colLast="0" w:name="_iy860yx5xzlp" w:id="8"/>
            <w:bookmarkEnd w:id="8"/>
            <w:r w:rsidDel="00000000" w:rsidR="00000000" w:rsidRPr="00000000">
              <w:rPr>
                <w:rtl w:val="0"/>
              </w:rPr>
              <w:t xml:space="preserve">Facilitator Background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after="0" w:line="300" w:lineRule="auto"/>
              <w:rPr/>
            </w:pPr>
            <w:hyperlink r:id="rId26">
              <w:r w:rsidDel="00000000" w:rsidR="00000000" w:rsidRPr="00000000">
                <w:rPr>
                  <w:i w:val="1"/>
                  <w:color w:val="004fa3"/>
                  <w:rtl w:val="0"/>
                </w:rPr>
                <w:t xml:space="preserve">Brown v. Board of Education of Topeka</w:t>
              </w:r>
            </w:hyperlink>
            <w:r w:rsidDel="00000000" w:rsidR="00000000" w:rsidRPr="00000000">
              <w:rPr>
                <w:rtl w:val="0"/>
              </w:rPr>
              <w:t xml:space="preserve"> was a landmark decision by the United States Supreme Court in 1954 that declared racial segregation in public schools unconstitutional. A group of African-American parents brought the case forward on behalf of their children, who were denied admission to white schools due to their race. The Court found that segregation in education violated the Equal Protection Clause of the 14th Amendment, which guarantees equal treatment under the law to all citizens.</w:t>
            </w:r>
          </w:p>
          <w:p w:rsidR="00000000" w:rsidDel="00000000" w:rsidP="00000000" w:rsidRDefault="00000000" w:rsidRPr="00000000" w14:paraId="00000033">
            <w:pPr>
              <w:widowControl w:val="0"/>
              <w:spacing w:after="0" w:line="300" w:lineRule="auto"/>
              <w:rPr/>
            </w:pPr>
            <w:r w:rsidDel="00000000" w:rsidR="00000000" w:rsidRPr="00000000">
              <w:rPr>
                <w:rtl w:val="0"/>
              </w:rPr>
            </w:r>
          </w:p>
          <w:p w:rsidR="00000000" w:rsidDel="00000000" w:rsidP="00000000" w:rsidRDefault="00000000" w:rsidRPr="00000000" w14:paraId="00000034">
            <w:pPr>
              <w:widowControl w:val="0"/>
              <w:spacing w:after="0" w:line="300" w:lineRule="auto"/>
              <w:rPr/>
            </w:pPr>
            <w:r w:rsidDel="00000000" w:rsidR="00000000" w:rsidRPr="00000000">
              <w:rPr>
                <w:rtl w:val="0"/>
              </w:rPr>
              <w:t xml:space="preserve">The decision overturned the "separate but equal" doctrine established in the </w:t>
            </w:r>
            <w:r w:rsidDel="00000000" w:rsidR="00000000" w:rsidRPr="00000000">
              <w:rPr>
                <w:i w:val="1"/>
                <w:rtl w:val="0"/>
              </w:rPr>
              <w:t xml:space="preserve">Plessy v. Ferguson</w:t>
            </w:r>
            <w:r w:rsidDel="00000000" w:rsidR="00000000" w:rsidRPr="00000000">
              <w:rPr>
                <w:rtl w:val="0"/>
              </w:rPr>
              <w:t xml:space="preserve"> case of 1896, which allowed for racial segregation in public facilities as long as they were deemed equal in quality. </w:t>
            </w:r>
            <w:r w:rsidDel="00000000" w:rsidR="00000000" w:rsidRPr="00000000">
              <w:rPr>
                <w:i w:val="1"/>
                <w:rtl w:val="0"/>
              </w:rPr>
              <w:t xml:space="preserve">Brown v. Board of Education</w:t>
            </w:r>
            <w:r w:rsidDel="00000000" w:rsidR="00000000" w:rsidRPr="00000000">
              <w:rPr>
                <w:rtl w:val="0"/>
              </w:rPr>
              <w:t xml:space="preserve"> marked a significant turning point in the Civil Rights Movement and paved the way for the desegregation of other public institutions, including public transportation, housing, and employment.</w:t>
            </w:r>
          </w:p>
          <w:p w:rsidR="00000000" w:rsidDel="00000000" w:rsidP="00000000" w:rsidRDefault="00000000" w:rsidRPr="00000000" w14:paraId="00000035">
            <w:pPr>
              <w:widowControl w:val="0"/>
              <w:spacing w:after="0" w:line="300" w:lineRule="auto"/>
              <w:rPr/>
            </w:pPr>
            <w:r w:rsidDel="00000000" w:rsidR="00000000" w:rsidRPr="00000000">
              <w:rPr>
                <w:rtl w:val="0"/>
              </w:rPr>
            </w:r>
          </w:p>
          <w:p w:rsidR="00000000" w:rsidDel="00000000" w:rsidP="00000000" w:rsidRDefault="00000000" w:rsidRPr="00000000" w14:paraId="00000036">
            <w:pPr>
              <w:widowControl w:val="0"/>
              <w:spacing w:after="0" w:line="300" w:lineRule="auto"/>
              <w:rPr/>
            </w:pPr>
            <w:r w:rsidDel="00000000" w:rsidR="00000000" w:rsidRPr="00000000">
              <w:rPr>
                <w:rtl w:val="0"/>
              </w:rPr>
              <w:t xml:space="preserve">Implementing the </w:t>
            </w:r>
            <w:r w:rsidDel="00000000" w:rsidR="00000000" w:rsidRPr="00000000">
              <w:rPr>
                <w:i w:val="1"/>
                <w:rtl w:val="0"/>
              </w:rPr>
              <w:t xml:space="preserve">Brown v. Board of Education</w:t>
            </w:r>
            <w:r w:rsidDel="00000000" w:rsidR="00000000" w:rsidRPr="00000000">
              <w:rPr>
                <w:rtl w:val="0"/>
              </w:rPr>
              <w:t xml:space="preserve"> decision was met with resistance from some white communities, leading to a long and tumultuous process of school desegregation across the United States. Nonetheless, the decision set a precedent for eliminating institutionalized segregation and discrimination, and it remains a powerful symbol of the struggle for civil rights in the United States.</w:t>
            </w:r>
          </w:p>
          <w:p w:rsidR="00000000" w:rsidDel="00000000" w:rsidP="00000000" w:rsidRDefault="00000000" w:rsidRPr="00000000" w14:paraId="00000037">
            <w:pPr>
              <w:widowControl w:val="0"/>
              <w:spacing w:after="0" w:line="300" w:lineRule="auto"/>
              <w:rPr/>
            </w:pPr>
            <w:r w:rsidDel="00000000" w:rsidR="00000000" w:rsidRPr="00000000">
              <w:rPr>
                <w:rtl w:val="0"/>
              </w:rPr>
            </w:r>
          </w:p>
          <w:p w:rsidR="00000000" w:rsidDel="00000000" w:rsidP="00000000" w:rsidRDefault="00000000" w:rsidRPr="00000000" w14:paraId="00000038">
            <w:pPr>
              <w:widowControl w:val="0"/>
              <w:spacing w:after="0" w:line="300" w:lineRule="auto"/>
              <w:rPr/>
            </w:pPr>
            <w:r w:rsidDel="00000000" w:rsidR="00000000" w:rsidRPr="00000000">
              <w:rPr>
                <w:b w:val="1"/>
                <w:rtl w:val="0"/>
              </w:rPr>
              <w:t xml:space="preserve">Additional Resources</w:t>
            </w:r>
            <w:r w:rsidDel="00000000" w:rsidR="00000000" w:rsidRPr="00000000">
              <w:rPr>
                <w:rtl w:val="0"/>
              </w:rPr>
              <w:t xml:space="preserve">:</w:t>
            </w:r>
          </w:p>
          <w:p w:rsidR="00000000" w:rsidDel="00000000" w:rsidP="00000000" w:rsidRDefault="00000000" w:rsidRPr="00000000" w14:paraId="00000039">
            <w:pPr>
              <w:widowControl w:val="0"/>
              <w:numPr>
                <w:ilvl w:val="0"/>
                <w:numId w:val="6"/>
              </w:numPr>
              <w:spacing w:after="0" w:line="300" w:lineRule="auto"/>
              <w:ind w:left="720" w:hanging="360"/>
              <w:rPr>
                <w:u w:val="none"/>
              </w:rPr>
            </w:pPr>
            <w:hyperlink r:id="rId27">
              <w:r w:rsidDel="00000000" w:rsidR="00000000" w:rsidRPr="00000000">
                <w:rPr>
                  <w:i w:val="1"/>
                  <w:color w:val="004fa3"/>
                  <w:rtl w:val="0"/>
                </w:rPr>
                <w:t xml:space="preserve">Brown v. Board of Education of Topeka</w:t>
              </w:r>
            </w:hyperlink>
            <w:r w:rsidDel="00000000" w:rsidR="00000000" w:rsidRPr="00000000">
              <w:rPr>
                <w:rtl w:val="0"/>
              </w:rPr>
              <w:t xml:space="preserve"> (1954), Khan Academy</w:t>
            </w:r>
          </w:p>
          <w:p w:rsidR="00000000" w:rsidDel="00000000" w:rsidP="00000000" w:rsidRDefault="00000000" w:rsidRPr="00000000" w14:paraId="0000003A">
            <w:pPr>
              <w:widowControl w:val="0"/>
              <w:numPr>
                <w:ilvl w:val="0"/>
                <w:numId w:val="6"/>
              </w:numPr>
              <w:spacing w:after="0" w:line="300" w:lineRule="auto"/>
              <w:ind w:left="720" w:hanging="360"/>
              <w:rPr>
                <w:u w:val="none"/>
              </w:rPr>
            </w:pPr>
            <w:hyperlink r:id="rId28">
              <w:r w:rsidDel="00000000" w:rsidR="00000000" w:rsidRPr="00000000">
                <w:rPr>
                  <w:i w:val="1"/>
                  <w:color w:val="004fa3"/>
                  <w:rtl w:val="0"/>
                </w:rPr>
                <w:t xml:space="preserve">Brown v. Board of Education</w:t>
              </w:r>
            </w:hyperlink>
            <w:hyperlink r:id="rId29">
              <w:r w:rsidDel="00000000" w:rsidR="00000000" w:rsidRPr="00000000">
                <w:rPr>
                  <w:color w:val="004fa3"/>
                  <w:rtl w:val="0"/>
                </w:rPr>
                <w:t xml:space="preserve"> Decision</w:t>
              </w:r>
            </w:hyperlink>
            <w:r w:rsidDel="00000000" w:rsidR="00000000" w:rsidRPr="00000000">
              <w:rPr>
                <w:rtl w:val="0"/>
              </w:rPr>
              <w:t xml:space="preserve"> (Unabridged)</w:t>
            </w:r>
          </w:p>
          <w:p w:rsidR="00000000" w:rsidDel="00000000" w:rsidP="00000000" w:rsidRDefault="00000000" w:rsidRPr="00000000" w14:paraId="0000003B">
            <w:pPr>
              <w:widowControl w:val="0"/>
              <w:numPr>
                <w:ilvl w:val="0"/>
                <w:numId w:val="6"/>
              </w:numPr>
              <w:spacing w:after="0" w:line="300" w:lineRule="auto"/>
              <w:ind w:left="720" w:hanging="360"/>
              <w:rPr>
                <w:u w:val="none"/>
              </w:rPr>
            </w:pPr>
            <w:hyperlink r:id="rId30">
              <w:r w:rsidDel="00000000" w:rsidR="00000000" w:rsidRPr="00000000">
                <w:rPr>
                  <w:i w:val="1"/>
                  <w:color w:val="004fa3"/>
                  <w:rtl w:val="0"/>
                </w:rPr>
                <w:t xml:space="preserve">Plessy v. Ferguson</w:t>
              </w:r>
            </w:hyperlink>
            <w:r w:rsidDel="00000000" w:rsidR="00000000" w:rsidRPr="00000000">
              <w:rPr>
                <w:rtl w:val="0"/>
              </w:rPr>
              <w:t xml:space="preserve"> (1896), National Archives</w:t>
            </w:r>
          </w:p>
          <w:p w:rsidR="00000000" w:rsidDel="00000000" w:rsidP="00000000" w:rsidRDefault="00000000" w:rsidRPr="00000000" w14:paraId="0000003C">
            <w:pPr>
              <w:widowControl w:val="0"/>
              <w:numPr>
                <w:ilvl w:val="0"/>
                <w:numId w:val="6"/>
              </w:numPr>
              <w:spacing w:after="0" w:line="300" w:lineRule="auto"/>
              <w:ind w:left="720" w:hanging="360"/>
              <w:rPr>
                <w:u w:val="none"/>
              </w:rPr>
            </w:pPr>
            <w:hyperlink r:id="rId31">
              <w:r w:rsidDel="00000000" w:rsidR="00000000" w:rsidRPr="00000000">
                <w:rPr>
                  <w:color w:val="004fa3"/>
                  <w:rtl w:val="0"/>
                </w:rPr>
                <w:t xml:space="preserve">“What to the Slave is the Fourth of July?”</w:t>
              </w:r>
            </w:hyperlink>
            <w:r w:rsidDel="00000000" w:rsidR="00000000" w:rsidRPr="00000000">
              <w:rPr>
                <w:rtl w:val="0"/>
              </w:rPr>
              <w:br w:type="textWrapping"/>
            </w:r>
            <w:r w:rsidDel="00000000" w:rsidR="00000000" w:rsidRPr="00000000">
              <w:rPr>
                <w:rtl w:val="0"/>
              </w:rPr>
              <w:t xml:space="preserve">National Museum of African American History &amp; Culture</w:t>
            </w:r>
          </w:p>
          <w:p w:rsidR="00000000" w:rsidDel="00000000" w:rsidP="00000000" w:rsidRDefault="00000000" w:rsidRPr="00000000" w14:paraId="0000003D">
            <w:pPr>
              <w:widowControl w:val="0"/>
              <w:numPr>
                <w:ilvl w:val="0"/>
                <w:numId w:val="6"/>
              </w:numPr>
              <w:spacing w:after="0" w:line="300" w:lineRule="auto"/>
              <w:ind w:left="720" w:hanging="360"/>
              <w:rPr>
                <w:u w:val="none"/>
              </w:rPr>
            </w:pPr>
            <w:hyperlink r:id="rId32">
              <w:r w:rsidDel="00000000" w:rsidR="00000000" w:rsidRPr="00000000">
                <w:rPr>
                  <w:color w:val="004fa3"/>
                  <w:rtl w:val="0"/>
                </w:rPr>
                <w:t xml:space="preserve">“What </w:t>
              </w:r>
            </w:hyperlink>
            <w:hyperlink r:id="rId33">
              <w:r w:rsidDel="00000000" w:rsidR="00000000" w:rsidRPr="00000000">
                <w:rPr>
                  <w:color w:val="004fa3"/>
                  <w:rtl w:val="0"/>
                </w:rPr>
                <w:t xml:space="preserve">to the Slave is</w:t>
              </w:r>
            </w:hyperlink>
            <w:hyperlink r:id="rId34">
              <w:r w:rsidDel="00000000" w:rsidR="00000000" w:rsidRPr="00000000">
                <w:rPr>
                  <w:color w:val="004fa3"/>
                  <w:rtl w:val="0"/>
                </w:rPr>
                <w:t xml:space="preserve"> the Fourth of July?”</w:t>
              </w:r>
            </w:hyperlink>
            <w:r w:rsidDel="00000000" w:rsidR="00000000" w:rsidRPr="00000000">
              <w:rPr>
                <w:rtl w:val="0"/>
              </w:rPr>
              <w:t xml:space="preserve"> (1852) (Unabridged)</w:t>
            </w:r>
            <w:r w:rsidDel="00000000" w:rsidR="00000000" w:rsidRPr="00000000">
              <w:rPr>
                <w:rtl w:val="0"/>
              </w:rPr>
            </w:r>
          </w:p>
        </w:tc>
      </w:tr>
    </w:tbl>
    <w:p w:rsidR="00000000" w:rsidDel="00000000" w:rsidP="00000000" w:rsidRDefault="00000000" w:rsidRPr="00000000" w14:paraId="0000003E">
      <w:pPr>
        <w:spacing w:after="0" w:lineRule="auto"/>
        <w:rPr>
          <w:color w:val="231f20"/>
        </w:rPr>
      </w:pPr>
      <w:r w:rsidDel="00000000" w:rsidR="00000000" w:rsidRPr="00000000">
        <w:rPr>
          <w:rtl w:val="0"/>
        </w:rPr>
      </w:r>
    </w:p>
    <w:tbl>
      <w:tblPr>
        <w:tblStyle w:val="Table5"/>
        <w:tblW w:w="10800.0" w:type="dxa"/>
        <w:jc w:val="left"/>
        <w:tblLayout w:type="fixed"/>
        <w:tblLook w:val="0600"/>
      </w:tblPr>
      <w:tblGrid>
        <w:gridCol w:w="10800"/>
        <w:tblGridChange w:id="0">
          <w:tblGrid>
            <w:gridCol w:w="108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3F">
            <w:pPr>
              <w:pStyle w:val="Heading4"/>
              <w:widowControl w:val="0"/>
              <w:spacing w:before="0" w:line="240" w:lineRule="auto"/>
              <w:rPr/>
            </w:pPr>
            <w:bookmarkStart w:colFirst="0" w:colLast="0" w:name="_i5w4eoqymj67" w:id="9"/>
            <w:bookmarkEnd w:id="9"/>
            <w:r w:rsidDel="00000000" w:rsidR="00000000" w:rsidRPr="00000000">
              <w:rPr>
                <w:rtl w:val="0"/>
              </w:rPr>
              <w:t xml:space="preserve">Assess &amp; Authentically Engage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after="0" w:line="300" w:lineRule="auto"/>
              <w:rPr>
                <w:color w:val="231f20"/>
              </w:rPr>
            </w:pPr>
            <w:r w:rsidDel="00000000" w:rsidR="00000000" w:rsidRPr="00000000">
              <w:rPr>
                <w:rtl w:val="0"/>
              </w:rPr>
              <w:t xml:space="preserve">Students demonstrate their understanding of civil rights by making real-world connections between the context surrounding the Supreme Court’s decision on </w:t>
            </w:r>
            <w:hyperlink r:id="rId35">
              <w:r w:rsidDel="00000000" w:rsidR="00000000" w:rsidRPr="00000000">
                <w:rPr>
                  <w:i w:val="1"/>
                  <w:color w:val="004fa3"/>
                  <w:rtl w:val="0"/>
                </w:rPr>
                <w:t xml:space="preserve">Brown v. Board of Education of Topeka</w:t>
              </w:r>
            </w:hyperlink>
            <w:r w:rsidDel="00000000" w:rsidR="00000000" w:rsidRPr="00000000">
              <w:rPr>
                <w:rtl w:val="0"/>
              </w:rPr>
              <w:t xml:space="preserve"> and that of the present-day United States and the role of civil rights today.</w:t>
            </w:r>
            <w:r w:rsidDel="00000000" w:rsidR="00000000" w:rsidRPr="00000000">
              <w:rPr>
                <w:rtl w:val="0"/>
              </w:rPr>
            </w:r>
          </w:p>
        </w:tc>
      </w:tr>
    </w:tbl>
    <w:p w:rsidR="00000000" w:rsidDel="00000000" w:rsidP="00000000" w:rsidRDefault="00000000" w:rsidRPr="00000000" w14:paraId="00000041">
      <w:pPr>
        <w:spacing w:after="0" w:lineRule="auto"/>
        <w:rPr>
          <w:color w:val="231f20"/>
          <w:sz w:val="16"/>
          <w:szCs w:val="16"/>
        </w:rPr>
      </w:pPr>
      <w:r w:rsidDel="00000000" w:rsidR="00000000" w:rsidRPr="00000000">
        <w:rPr>
          <w:rtl w:val="0"/>
        </w:rPr>
      </w:r>
    </w:p>
    <w:sectPr>
      <w:headerReference r:id="rId36" w:type="default"/>
      <w:footerReference r:id="rId37" w:type="default"/>
      <w:pgSz w:h="15840" w:w="12240" w:orient="portrait"/>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pStyle w:val="Heading6"/>
      <w:rPr/>
    </w:pPr>
    <w:bookmarkStart w:colFirst="0" w:colLast="0" w:name="_wz4xqz6ubvoc" w:id="11"/>
    <w:bookmarkEnd w:id="11"/>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-59943</wp:posOffset>
          </wp:positionV>
          <wp:extent cx="6858000" cy="381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858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pStyle w:val="Heading5"/>
      <w:rPr/>
    </w:pPr>
    <w:bookmarkStart w:colFirst="0" w:colLast="0" w:name="_11dswytin9xs" w:id="10"/>
    <w:bookmarkEnd w:id="10"/>
    <w:r w:rsidDel="00000000" w:rsidR="00000000" w:rsidRPr="00000000">
      <w:rPr>
        <w:rtl w:val="0"/>
      </w:rPr>
      <w:t xml:space="preserve">Civil Discourse: Civil Rights</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231f20"/>
        <w:sz w:val="24"/>
        <w:szCs w:val="24"/>
        <w:lang w:val="en"/>
      </w:rPr>
    </w:rPrDefault>
    <w:pPrDefault>
      <w:pPr>
        <w:spacing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www.archives.gov/milestone-documents/14th-amendment" TargetMode="External"/><Relationship Id="rId22" Type="http://schemas.openxmlformats.org/officeDocument/2006/relationships/hyperlink" Target="https://www.merriam-webster.com/dictionary/jurisdiction" TargetMode="External"/><Relationship Id="rId21" Type="http://schemas.openxmlformats.org/officeDocument/2006/relationships/hyperlink" Target="https://www.merriam-webster.com/dictionary/equal%20protection" TargetMode="External"/><Relationship Id="rId24" Type="http://schemas.openxmlformats.org/officeDocument/2006/relationships/hyperlink" Target="https://www.merriam-webster.com/dictionary/rudimentary" TargetMode="External"/><Relationship Id="rId23" Type="http://schemas.openxmlformats.org/officeDocument/2006/relationships/hyperlink" Target="https://www.merriam-webster.com/dictionary/ratificat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iviced.org/civil-discourse/module-civil-rights/podcasts-and-videos/part-3" TargetMode="External"/><Relationship Id="rId26" Type="http://schemas.openxmlformats.org/officeDocument/2006/relationships/hyperlink" Target="https://civiced.org/pdfs/court_cases/MajorityOpinion_CenterForCivicEducation_Brown_v_BoardOfEducationOfTopeka_1954.pdf" TargetMode="External"/><Relationship Id="rId25" Type="http://schemas.openxmlformats.org/officeDocument/2006/relationships/hyperlink" Target="https://americanhistory.si.edu/brown/history/1-segregated/separate-but-equal.html" TargetMode="External"/><Relationship Id="rId28" Type="http://schemas.openxmlformats.org/officeDocument/2006/relationships/hyperlink" Target="https://civiced.org/pdfs/court_cases/MajorityOpinion_CenterForCivicEducation_Brown_v_BoardOfEducationOfTopeka_1954.pdf" TargetMode="External"/><Relationship Id="rId27" Type="http://schemas.openxmlformats.org/officeDocument/2006/relationships/hyperlink" Target="https://www.khanacademy.org/humanities/us-government-and-civics/us-gov-civil-liberties-and-civil-rights/us-gov-government-responses-to-social-movements/v/brown-v-board-of-education-of-topeka-us-government-and-politics-khan-academy" TargetMode="External"/><Relationship Id="rId5" Type="http://schemas.openxmlformats.org/officeDocument/2006/relationships/styles" Target="styles.xml"/><Relationship Id="rId6" Type="http://schemas.openxmlformats.org/officeDocument/2006/relationships/image" Target="media/image3.png"/><Relationship Id="rId29" Type="http://schemas.openxmlformats.org/officeDocument/2006/relationships/hyperlink" Target="https://civiced.org/pdfs/court_cases/MajorityOpinion_CenterForCivicEducation_Brown_v_BoardOfEducationOfTopeka_1954.pdf" TargetMode="External"/><Relationship Id="rId7" Type="http://schemas.openxmlformats.org/officeDocument/2006/relationships/hyperlink" Target="https://civiced.org/civil-discourse/module-civil-rights/podcasts-and-videos/part-1" TargetMode="External"/><Relationship Id="rId8" Type="http://schemas.openxmlformats.org/officeDocument/2006/relationships/hyperlink" Target="https://civiced.org/civil-discourse/module-civil-rights/podcasts-and-videos/part-2" TargetMode="External"/><Relationship Id="rId31" Type="http://schemas.openxmlformats.org/officeDocument/2006/relationships/hyperlink" Target="https://nmaahc.si.edu/explore/stories/nations-story-what-slave-fourth-july" TargetMode="External"/><Relationship Id="rId30" Type="http://schemas.openxmlformats.org/officeDocument/2006/relationships/hyperlink" Target="https://www.archives.gov/milestone-documents/plessy-v-ferguson" TargetMode="External"/><Relationship Id="rId11" Type="http://schemas.openxmlformats.org/officeDocument/2006/relationships/hyperlink" Target="https://civiced.org/civil-discourse/module-civil-rights/podcasts-and-videos/part-5" TargetMode="External"/><Relationship Id="rId33" Type="http://schemas.openxmlformats.org/officeDocument/2006/relationships/hyperlink" Target="https://civiced.org/pdfs/historical_documents/HistoricalDocument_CenterForCivicEducation_FrederickDouglass_WhatToASlaveIsTheFourthOfJuly_1852.pdf" TargetMode="External"/><Relationship Id="rId10" Type="http://schemas.openxmlformats.org/officeDocument/2006/relationships/hyperlink" Target="https://civiced.org/civil-discourse/module-civil-rights/podcasts-and-videos/part-4" TargetMode="External"/><Relationship Id="rId32" Type="http://schemas.openxmlformats.org/officeDocument/2006/relationships/hyperlink" Target="https://civiced.org/pdfs/historical_documents/HistoricalDocument_CenterForCivicEducation_FrederickDouglass_WhatToASlaveIsTheFourthOfJuly_1852.pdf" TargetMode="External"/><Relationship Id="rId13" Type="http://schemas.openxmlformats.org/officeDocument/2006/relationships/hyperlink" Target="https://civiced.org/pdfs/court_cases/MajorityOpinion_CenterForCivicEducation_Brown_v_BoardOfEducationOfTopeka_1954.pdf" TargetMode="External"/><Relationship Id="rId35" Type="http://schemas.openxmlformats.org/officeDocument/2006/relationships/hyperlink" Target="https://civiced.org/pdfs/court_cases/MajorityOpinion_CenterForCivicEducation_Brown_v_BoardOfEducationOfTopeka_1954.pdf" TargetMode="External"/><Relationship Id="rId12" Type="http://schemas.openxmlformats.org/officeDocument/2006/relationships/hyperlink" Target="https://civiced.org/civil-discourse/module-civil-rights/podcasts-and-videos/part-6" TargetMode="External"/><Relationship Id="rId34" Type="http://schemas.openxmlformats.org/officeDocument/2006/relationships/hyperlink" Target="https://civiced.org/pdfs/historical_documents/HistoricalDocument_CenterForCivicEducation_FrederickDouglass_WhatToASlaveIsTheFourthOfJuly_1852.pdf" TargetMode="External"/><Relationship Id="rId15" Type="http://schemas.openxmlformats.org/officeDocument/2006/relationships/hyperlink" Target="https://drive.google.com/file/d/1j2qtkxV67Z6mLZETL8sLua7AHuPQraa6/view?usp=drive_link" TargetMode="External"/><Relationship Id="rId37" Type="http://schemas.openxmlformats.org/officeDocument/2006/relationships/footer" Target="footer1.xml"/><Relationship Id="rId14" Type="http://schemas.openxmlformats.org/officeDocument/2006/relationships/hyperlink" Target="https://civiced.org/pdfs/court_cases/MajorityOpinion_CenterForCivicEducation_Brown_v_BoardOfEducationOfTopeka_1954.pdf" TargetMode="External"/><Relationship Id="rId36" Type="http://schemas.openxmlformats.org/officeDocument/2006/relationships/header" Target="header1.xml"/><Relationship Id="rId17" Type="http://schemas.openxmlformats.org/officeDocument/2006/relationships/hyperlink" Target="https://drive.google.com/file/d/1nRDCc8YLpHY2L4wVtYDfAWL2Tc1PG5Hi/view?usp=drive_link" TargetMode="External"/><Relationship Id="rId16" Type="http://schemas.openxmlformats.org/officeDocument/2006/relationships/hyperlink" Target="https://drive.google.com/file/d/1oU2myUFFwCEPEPHMih21nmw1Lpo8uAfF/view?usp=drive_link" TargetMode="External"/><Relationship Id="rId19" Type="http://schemas.openxmlformats.org/officeDocument/2006/relationships/hyperlink" Target="https://civiced.org/pdfs/court_cases/MajorityOpinion_CenterForCivicEducation_Brown_v_BoardOfEducationOfTopeka_1954.pdf" TargetMode="External"/><Relationship Id="rId18" Type="http://schemas.openxmlformats.org/officeDocument/2006/relationships/hyperlink" Target="https://drive.google.com/file/d/1A8tOeMvvMgLCzn7Jz3jK5Ko2dTU-ljck/view?usp=drive_lin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